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972AA" w:rsidP="002972AA" w:rsidRDefault="002972AA" w14:paraId="1DCBA81B" wp14:textId="77777777">
      <w:pPr>
        <w:spacing w:line="275" w:lineRule="auto"/>
        <w:jc w:val="center"/>
        <w:textDirection w:val="btLr"/>
      </w:pPr>
      <w:r>
        <w:rPr>
          <w:b/>
          <w:color w:val="000000"/>
          <w:sz w:val="32"/>
        </w:rPr>
        <w:t xml:space="preserve">Career-Life Connections Module </w:t>
      </w:r>
      <w:r w:rsidR="00A84002">
        <w:rPr>
          <w:b/>
          <w:color w:val="000000"/>
          <w:sz w:val="32"/>
        </w:rPr>
        <w:t>2</w:t>
      </w:r>
      <w:r>
        <w:rPr>
          <w:b/>
          <w:color w:val="000000"/>
          <w:sz w:val="32"/>
        </w:rPr>
        <w:t xml:space="preserve">: </w:t>
      </w:r>
      <w:r w:rsidR="00A84002">
        <w:rPr>
          <w:b/>
          <w:color w:val="000000"/>
          <w:sz w:val="32"/>
        </w:rPr>
        <w:t>Connections to the Community</w:t>
      </w:r>
    </w:p>
    <w:p xmlns:wp14="http://schemas.microsoft.com/office/word/2010/wordml" w:rsidRPr="00A84002" w:rsidR="00A84002" w:rsidP="00A84002" w:rsidRDefault="00A84002" w14:paraId="3E0D85D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Module 2</w:t>
      </w:r>
      <w:r w:rsidRPr="00A84002"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>Career Life Connections 11 (</w:t>
      </w:r>
      <w:r w:rsidRPr="00A84002">
        <w:rPr>
          <w:b/>
          <w:sz w:val="24"/>
          <w:szCs w:val="24"/>
        </w:rPr>
        <w:t>CLC 12</w:t>
      </w:r>
      <w:r>
        <w:rPr>
          <w:b/>
          <w:sz w:val="24"/>
          <w:szCs w:val="24"/>
        </w:rPr>
        <w:t>A)</w:t>
      </w:r>
      <w:r w:rsidRPr="00A84002">
        <w:rPr>
          <w:b/>
          <w:sz w:val="24"/>
          <w:szCs w:val="24"/>
        </w:rPr>
        <w:t xml:space="preserve"> course asks you to explore career options through the lens of connecting with the people around you. As a young worker, you will need to establish contact with the work world. Mentors play an important role in helping students with career-life development, including planning, decision making, providing exposure to possibilities and finding emerging opportunities. The activities</w:t>
      </w:r>
      <w:r>
        <w:rPr>
          <w:b/>
          <w:sz w:val="24"/>
          <w:szCs w:val="24"/>
        </w:rPr>
        <w:t xml:space="preserve"> in this module</w:t>
      </w:r>
      <w:r w:rsidRPr="00A84002">
        <w:rPr>
          <w:b/>
          <w:sz w:val="24"/>
          <w:szCs w:val="24"/>
        </w:rPr>
        <w:t xml:space="preserve"> are designed to give you the opportunity to explore employment avenues and to learn how to develop a network of mentorship. </w:t>
      </w:r>
    </w:p>
    <w:p xmlns:wp14="http://schemas.microsoft.com/office/word/2010/wordml" w:rsidRPr="00A84002" w:rsidR="002972AA" w:rsidP="00A84002" w:rsidRDefault="002972AA" w14:paraId="672A6659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A84002" w:rsidR="002972AA" w:rsidP="71526FD3" w:rsidRDefault="002972AA" w14:paraId="07A1745A" wp14:textId="0171C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 w:val="1"/>
          <w:bCs w:val="1"/>
          <w:color w:val="000000"/>
          <w:sz w:val="24"/>
          <w:szCs w:val="24"/>
        </w:rPr>
      </w:pPr>
      <w:r w:rsidRPr="71526FD3" w:rsidR="002972AA">
        <w:rPr>
          <w:b w:val="1"/>
          <w:bCs w:val="1"/>
          <w:color w:val="000000" w:themeColor="text1" w:themeTint="FF" w:themeShade="FF"/>
          <w:sz w:val="24"/>
          <w:szCs w:val="24"/>
        </w:rPr>
        <w:t xml:space="preserve">Activity 1: </w:t>
      </w:r>
      <w:r w:rsidRPr="71526FD3" w:rsidR="588A2B51">
        <w:rPr>
          <w:b w:val="1"/>
          <w:bCs w:val="1"/>
          <w:color w:val="000000" w:themeColor="text1" w:themeTint="FF" w:themeShade="FF"/>
          <w:sz w:val="24"/>
          <w:szCs w:val="24"/>
        </w:rPr>
        <w:t>Career Research</w:t>
      </w:r>
    </w:p>
    <w:p xmlns:wp14="http://schemas.microsoft.com/office/word/2010/wordml" w:rsidRPr="00A84002" w:rsidR="002972AA" w:rsidP="00A84002" w:rsidRDefault="002972AA" w14:paraId="275CDD8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4002">
        <w:rPr>
          <w:b/>
          <w:color w:val="000000"/>
          <w:sz w:val="24"/>
          <w:szCs w:val="24"/>
        </w:rPr>
        <w:t xml:space="preserve">Activity 2: </w:t>
      </w:r>
      <w:r w:rsidR="00A84002">
        <w:rPr>
          <w:b/>
          <w:color w:val="000000"/>
          <w:sz w:val="24"/>
          <w:szCs w:val="24"/>
        </w:rPr>
        <w:t>Networking Resources</w:t>
      </w:r>
    </w:p>
    <w:p xmlns:wp14="http://schemas.microsoft.com/office/word/2010/wordml" w:rsidRPr="00A84002" w:rsidR="002972AA" w:rsidP="00A84002" w:rsidRDefault="002972AA" w14:paraId="74FD259F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4002">
        <w:rPr>
          <w:b/>
          <w:color w:val="000000"/>
          <w:sz w:val="24"/>
          <w:szCs w:val="24"/>
        </w:rPr>
        <w:t xml:space="preserve">Activity 3: </w:t>
      </w:r>
      <w:r w:rsidR="00A84002">
        <w:rPr>
          <w:b/>
          <w:color w:val="000000"/>
          <w:sz w:val="24"/>
          <w:szCs w:val="24"/>
        </w:rPr>
        <w:t>References</w:t>
      </w:r>
    </w:p>
    <w:p xmlns:wp14="http://schemas.microsoft.com/office/word/2010/wordml" w:rsidRPr="00A84002" w:rsidR="002972AA" w:rsidP="00A84002" w:rsidRDefault="002972AA" w14:paraId="07823D7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4002">
        <w:rPr>
          <w:b/>
          <w:color w:val="000000"/>
          <w:sz w:val="24"/>
          <w:szCs w:val="24"/>
        </w:rPr>
        <w:t xml:space="preserve">Activity 4: </w:t>
      </w:r>
      <w:r w:rsidR="00A84002">
        <w:rPr>
          <w:b/>
          <w:color w:val="000000"/>
          <w:sz w:val="24"/>
          <w:szCs w:val="24"/>
        </w:rPr>
        <w:t>Career Life Exploration</w:t>
      </w:r>
    </w:p>
    <w:p xmlns:wp14="http://schemas.microsoft.com/office/word/2010/wordml" w:rsidRPr="00A84002" w:rsidR="002972AA" w:rsidP="00A84002" w:rsidRDefault="002972AA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TableGrid1"/>
        <w:tblW w:w="9709" w:type="dxa"/>
        <w:tblLook w:val="04A0" w:firstRow="1" w:lastRow="0" w:firstColumn="1" w:lastColumn="0" w:noHBand="0" w:noVBand="1"/>
      </w:tblPr>
      <w:tblGrid>
        <w:gridCol w:w="2086"/>
        <w:gridCol w:w="2707"/>
        <w:gridCol w:w="2616"/>
        <w:gridCol w:w="2300"/>
      </w:tblGrid>
      <w:tr xmlns:wp14="http://schemas.microsoft.com/office/word/2010/wordml" w:rsidR="00A84002" w:rsidTr="41D490DA" w14:paraId="7CE5BB16" wp14:textId="77777777">
        <w:trPr>
          <w:trHeight w:val="272"/>
        </w:trPr>
        <w:tc>
          <w:tcPr>
            <w:tcW w:w="9709" w:type="dxa"/>
            <w:gridSpan w:val="4"/>
            <w:tcMar/>
          </w:tcPr>
          <w:p w:rsidR="00A84002" w:rsidP="00E812F5" w:rsidRDefault="00A84002" w14:paraId="602AD9AB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BIG IDEAS:</w:t>
            </w:r>
          </w:p>
        </w:tc>
      </w:tr>
      <w:tr xmlns:wp14="http://schemas.microsoft.com/office/word/2010/wordml" w:rsidR="003375AA" w:rsidTr="41D490DA" w14:paraId="59B64BF1" wp14:textId="77777777">
        <w:trPr>
          <w:trHeight w:val="2479"/>
        </w:trPr>
        <w:tc>
          <w:tcPr>
            <w:tcW w:w="2288" w:type="dxa"/>
            <w:tcMar/>
          </w:tcPr>
          <w:p w:rsidRPr="002972AA" w:rsidR="00A84002" w:rsidP="00E812F5" w:rsidRDefault="00A84002" w14:paraId="3B294E42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Career-life development</w:t>
            </w:r>
          </w:p>
          <w:p w:rsidRPr="004E679C" w:rsidR="00A84002" w:rsidP="00E812F5" w:rsidRDefault="00A84002" w14:paraId="0C337BE2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 xml:space="preserve">includes ongoing cycles of </w:t>
            </w:r>
            <w:r w:rsidR="003375AA">
              <w:rPr>
                <w:color w:val="000000"/>
                <w:sz w:val="24"/>
                <w:szCs w:val="24"/>
                <w:lang w:val="en-CA"/>
              </w:rPr>
              <w:t>e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xploring, planning, reflecting,</w:t>
            </w:r>
          </w:p>
          <w:p w:rsidR="00A84002" w:rsidP="00E812F5" w:rsidRDefault="00A84002" w14:paraId="5463D419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adapting, and deciding.</w:t>
            </w:r>
          </w:p>
        </w:tc>
        <w:tc>
          <w:tcPr>
            <w:tcW w:w="2707" w:type="dxa"/>
            <w:tcMar/>
          </w:tcPr>
          <w:p w:rsidRPr="004E679C" w:rsidR="00A84002" w:rsidP="00E812F5" w:rsidRDefault="00A84002" w14:paraId="1A8697DE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Career-life decisions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influence and are influenced by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internal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 xml:space="preserve"> 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and external factors,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including</w:t>
            </w:r>
          </w:p>
          <w:p w:rsidRPr="002972AA" w:rsidR="00A84002" w:rsidP="00E812F5" w:rsidRDefault="00A84002" w14:paraId="4159AD10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local and global 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>t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rends.</w:t>
            </w:r>
          </w:p>
          <w:p w:rsidR="00A84002" w:rsidP="00E812F5" w:rsidRDefault="00A84002" w14:paraId="5DAB6C7B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Mar/>
          </w:tcPr>
          <w:p w:rsidRPr="008D6574" w:rsidR="00A84002" w:rsidP="372A6309" w:rsidRDefault="00A84002" w14:paraId="78E85904" wp14:textId="77777777" wp14:noSpellErr="1">
            <w:pPr>
              <w:spacing w:after="0" w:line="240" w:lineRule="auto"/>
              <w:rPr>
                <w:b w:val="1"/>
                <w:bCs w:val="1"/>
                <w:color w:val="000000"/>
                <w:sz w:val="24"/>
                <w:szCs w:val="24"/>
                <w:lang w:val="en-CA"/>
              </w:rPr>
            </w:pPr>
            <w:r w:rsidRPr="372A6309" w:rsidR="00A84002">
              <w:rPr>
                <w:rStyle w:val="normaltextrun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Engaging in</w:t>
            </w:r>
            <w:r w:rsidRPr="372A6309" w:rsidR="00A84002">
              <w:rPr>
                <w:rStyle w:val="normaltextrun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 xml:space="preserve"> networks</w:t>
            </w:r>
            <w:r w:rsidRPr="372A6309" w:rsidR="00A8400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and </w:t>
            </w:r>
            <w:r w:rsidRPr="372A6309" w:rsidR="00A84002">
              <w:rPr>
                <w:rStyle w:val="normaltextrun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reciprocal relationships</w:t>
            </w:r>
            <w:r w:rsidRPr="372A6309" w:rsidR="00A8400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can guide and broaden career-life awareness and options.</w:t>
            </w:r>
          </w:p>
          <w:p w:rsidRPr="008D6574" w:rsidR="00A84002" w:rsidP="372A6309" w:rsidRDefault="00A84002" w14:paraId="02EB378F" wp14:textId="77777777" wp14:noSpellErr="1">
            <w:pPr>
              <w:spacing w:after="0" w:line="240" w:lineRule="auto"/>
              <w:rPr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Mar/>
          </w:tcPr>
          <w:p w:rsidRPr="002972AA" w:rsidR="00A84002" w:rsidP="372A6309" w:rsidRDefault="00A84002" w14:paraId="4722A560" wp14:textId="77777777" wp14:noSpellErr="1">
            <w:pPr>
              <w:spacing w:after="0" w:line="240" w:lineRule="auto"/>
              <w:rPr>
                <w:b w:val="1"/>
                <w:bCs w:val="1"/>
                <w:color w:val="000000"/>
                <w:sz w:val="24"/>
                <w:szCs w:val="24"/>
                <w:lang w:val="en-CA"/>
              </w:rPr>
            </w:pPr>
            <w:r w:rsidRPr="41D490DA" w:rsidR="00A84002">
              <w:rPr>
                <w:color w:val="000000" w:themeColor="text1" w:themeTint="FF" w:themeShade="FF"/>
                <w:sz w:val="24"/>
                <w:szCs w:val="24"/>
                <w:lang w:val="en-CA"/>
              </w:rPr>
              <w:t>Lifelong learning and active citizenship foster</w:t>
            </w:r>
            <w:r w:rsidRPr="41D490DA" w:rsidR="00A84002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 xml:space="preserve"> career-life</w:t>
            </w:r>
          </w:p>
          <w:p w:rsidRPr="004E679C" w:rsidR="00A84002" w:rsidP="00E812F5" w:rsidRDefault="00A84002" w14:paraId="4D999195" wp14:textId="77777777" wp14:noSpellErr="1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41D490DA" w:rsidR="00A84002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lang w:val="en-CA"/>
              </w:rPr>
              <w:t xml:space="preserve">opportunities </w:t>
            </w:r>
            <w:r w:rsidRPr="41D490DA" w:rsidR="00A84002">
              <w:rPr>
                <w:color w:val="000000" w:themeColor="text1" w:themeTint="FF" w:themeShade="FF"/>
                <w:sz w:val="24"/>
                <w:szCs w:val="24"/>
                <w:lang w:val="en-CA"/>
              </w:rPr>
              <w:t>for people and</w:t>
            </w:r>
          </w:p>
          <w:p w:rsidR="00A84002" w:rsidP="372A6309" w:rsidRDefault="00A84002" w14:paraId="2023E981" wp14:textId="77777777" wp14:noSpellErr="1">
            <w:pPr>
              <w:spacing w:after="0" w:line="240" w:lineRule="auto"/>
              <w:rPr>
                <w:b w:val="1"/>
                <w:bCs w:val="1"/>
                <w:color w:val="000000"/>
                <w:sz w:val="24"/>
                <w:szCs w:val="24"/>
              </w:rPr>
            </w:pPr>
            <w:r w:rsidRPr="41D490DA" w:rsidR="00A84002">
              <w:rPr>
                <w:color w:val="000000" w:themeColor="text1" w:themeTint="FF" w:themeShade="FF"/>
                <w:sz w:val="24"/>
                <w:szCs w:val="24"/>
                <w:lang w:val="en-CA"/>
              </w:rPr>
              <w:t>communities.</w:t>
            </w:r>
          </w:p>
        </w:tc>
      </w:tr>
      <w:tr xmlns:wp14="http://schemas.microsoft.com/office/word/2010/wordml" w:rsidR="00A84002" w:rsidTr="41D490DA" w14:paraId="6A05A809" wp14:textId="77777777">
        <w:trPr>
          <w:trHeight w:val="99"/>
        </w:trPr>
        <w:tc>
          <w:tcPr>
            <w:tcW w:w="9709" w:type="dxa"/>
            <w:gridSpan w:val="4"/>
            <w:shd w:val="clear" w:color="auto" w:fill="D9D9D9" w:themeFill="background1" w:themeFillShade="D9"/>
            <w:tcMar/>
          </w:tcPr>
          <w:p w:rsidRPr="00DC42A8" w:rsidR="00A84002" w:rsidP="00E812F5" w:rsidRDefault="00A84002" w14:paraId="5A39BBE3" wp14:textId="77777777">
            <w:pPr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</w:tc>
      </w:tr>
      <w:tr xmlns:wp14="http://schemas.microsoft.com/office/word/2010/wordml" w:rsidR="00A84002" w:rsidTr="41D490DA" w14:paraId="2B1E36A3" wp14:textId="77777777">
        <w:trPr>
          <w:trHeight w:val="272"/>
        </w:trPr>
        <w:tc>
          <w:tcPr>
            <w:tcW w:w="9709" w:type="dxa"/>
            <w:gridSpan w:val="4"/>
            <w:tcMar/>
          </w:tcPr>
          <w:p w:rsidR="00A84002" w:rsidP="00E812F5" w:rsidRDefault="00A84002" w14:paraId="214B021F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CURRICULAR COMPETENCIES:</w:t>
            </w:r>
          </w:p>
        </w:tc>
      </w:tr>
      <w:tr xmlns:wp14="http://schemas.microsoft.com/office/word/2010/wordml" w:rsidR="003375AA" w:rsidTr="41D490DA" w14:paraId="133ABD40" wp14:textId="77777777">
        <w:trPr>
          <w:trHeight w:val="1925"/>
        </w:trPr>
        <w:tc>
          <w:tcPr>
            <w:tcW w:w="2288" w:type="dxa"/>
            <w:tcMar/>
          </w:tcPr>
          <w:p w:rsidRPr="00DC42A8" w:rsidR="00A84002" w:rsidP="00E812F5" w:rsidRDefault="00A84002" w14:paraId="51FFFB16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6574">
              <w:rPr>
                <w:color w:val="000000"/>
                <w:sz w:val="24"/>
                <w:szCs w:val="24"/>
              </w:rPr>
              <w:t>Collaborate with a mentor to inform career-life development and exploration </w:t>
            </w:r>
          </w:p>
        </w:tc>
        <w:tc>
          <w:tcPr>
            <w:tcW w:w="2707" w:type="dxa"/>
            <w:tcMar/>
          </w:tcPr>
          <w:p w:rsidRPr="00DC42A8" w:rsidR="00A84002" w:rsidP="00E812F5" w:rsidRDefault="00A84002" w14:paraId="5DEFBA3F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6574">
              <w:rPr>
                <w:color w:val="000000"/>
                <w:sz w:val="24"/>
                <w:szCs w:val="24"/>
              </w:rPr>
              <w:t>Engage with personal, education, and employment networks to cultivate  </w:t>
            </w:r>
            <w:r w:rsidRPr="008D6574">
              <w:rPr>
                <w:color w:val="000000"/>
                <w:sz w:val="24"/>
                <w:szCs w:val="24"/>
              </w:rPr>
              <w:br/>
            </w:r>
            <w:r w:rsidRPr="008D6574">
              <w:rPr>
                <w:color w:val="000000"/>
                <w:sz w:val="24"/>
                <w:szCs w:val="24"/>
              </w:rPr>
              <w:t>post-graduation resources and social capital</w:t>
            </w:r>
          </w:p>
        </w:tc>
        <w:tc>
          <w:tcPr>
            <w:tcW w:w="2230" w:type="dxa"/>
            <w:tcMar/>
          </w:tcPr>
          <w:p w:rsidRPr="00DC42A8" w:rsidR="00A84002" w:rsidP="00E812F5" w:rsidRDefault="00A84002" w14:paraId="41EC1443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6574">
              <w:rPr>
                <w:color w:val="000000"/>
                <w:sz w:val="24"/>
                <w:szCs w:val="24"/>
              </w:rPr>
              <w:t>Explore possibilities for preferred personal and education/employment futures, using creative and innovative thinking </w:t>
            </w:r>
          </w:p>
        </w:tc>
        <w:tc>
          <w:tcPr>
            <w:tcW w:w="2484" w:type="dxa"/>
            <w:tcMar/>
          </w:tcPr>
          <w:p w:rsidRPr="00DC42A8" w:rsidR="00A84002" w:rsidP="00E812F5" w:rsidRDefault="00A84002" w14:paraId="1F35C16B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6574">
              <w:rPr>
                <w:color w:val="000000"/>
                <w:sz w:val="24"/>
                <w:szCs w:val="24"/>
              </w:rPr>
              <w:t>Engage in, reflect on, and evaluate career-life exploration </w:t>
            </w:r>
          </w:p>
        </w:tc>
      </w:tr>
    </w:tbl>
    <w:p xmlns:wp14="http://schemas.microsoft.com/office/word/2010/wordml" w:rsidR="002972AA" w:rsidP="002972AA" w:rsidRDefault="002972AA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xmlns:wp14="http://schemas.microsoft.com/office/word/2010/wordml" w:rsidR="00583586" w:rsidRDefault="00583586" w14:paraId="72A3D3EC" wp14:textId="77777777">
      <w:bookmarkStart w:name="_GoBack" w:id="0"/>
      <w:bookmarkEnd w:id="0"/>
    </w:p>
    <w:sectPr w:rsidR="005835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B26C2"/>
    <w:multiLevelType w:val="multilevel"/>
    <w:tmpl w:val="24A66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A"/>
    <w:rsid w:val="002972AA"/>
    <w:rsid w:val="003375AA"/>
    <w:rsid w:val="00493866"/>
    <w:rsid w:val="004E679C"/>
    <w:rsid w:val="00583586"/>
    <w:rsid w:val="009D35EA"/>
    <w:rsid w:val="00A84002"/>
    <w:rsid w:val="00AF474C"/>
    <w:rsid w:val="00DC42A8"/>
    <w:rsid w:val="372A6309"/>
    <w:rsid w:val="41D490DA"/>
    <w:rsid w:val="588A2B51"/>
    <w:rsid w:val="715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28E0"/>
  <w15:chartTrackingRefBased/>
  <w15:docId w15:val="{17B853F5-B519-43CC-A03F-F19B87CC6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72AA"/>
    <w:pPr>
      <w:spacing w:after="200" w:line="276" w:lineRule="auto"/>
    </w:pPr>
    <w:rPr>
      <w:rFonts w:ascii="Calibri" w:hAnsi="Calibri" w:eastAsia="Calibri" w:cs="Calibri"/>
      <w:lang w:val="en-US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A84002"/>
  </w:style>
  <w:style w:type="table" w:styleId="TableGrid1" w:customStyle="1">
    <w:name w:val="Table Grid1"/>
    <w:basedOn w:val="TableNormal"/>
    <w:next w:val="TableGrid"/>
    <w:uiPriority w:val="39"/>
    <w:rsid w:val="00A840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7B2C0-E5E2-4E8A-8608-7A2794C6DF6E}"/>
</file>

<file path=customXml/itemProps2.xml><?xml version="1.0" encoding="utf-8"?>
<ds:datastoreItem xmlns:ds="http://schemas.openxmlformats.org/officeDocument/2006/customXml" ds:itemID="{246A7669-4AA4-45F0-B88D-7A2AA5A4D5BE}"/>
</file>

<file path=customXml/itemProps3.xml><?xml version="1.0" encoding="utf-8"?>
<ds:datastoreItem xmlns:ds="http://schemas.openxmlformats.org/officeDocument/2006/customXml" ds:itemID="{2D5CFC63-E207-43B9-8803-65972D0693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6</cp:revision>
  <dcterms:created xsi:type="dcterms:W3CDTF">2020-06-22T21:24:00Z</dcterms:created>
  <dcterms:modified xsi:type="dcterms:W3CDTF">2020-08-29T20:46:14Z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